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heme="minorEastAsia" w:hAnsiTheme="minorEastAsia"/>
          <w:b/>
          <w:bCs/>
          <w:sz w:val="30"/>
          <w:szCs w:val="30"/>
        </w:rPr>
      </w:pPr>
      <w:r>
        <w:rPr>
          <w:rFonts w:hint="eastAsia" w:asciiTheme="minorEastAsia" w:hAnsiTheme="minorEastAsia"/>
          <w:b/>
          <w:bCs/>
          <w:sz w:val="30"/>
          <w:szCs w:val="30"/>
        </w:rPr>
        <w:t>《</w:t>
      </w:r>
      <w:r>
        <w:rPr>
          <w:rFonts w:asciiTheme="minorEastAsia" w:hAnsiTheme="minorEastAsia"/>
          <w:b/>
          <w:bCs/>
          <w:sz w:val="30"/>
          <w:szCs w:val="30"/>
        </w:rPr>
        <w:t>乌东德水电站右岸特大地下洞井群施工关键技术</w:t>
      </w:r>
      <w:r>
        <w:rPr>
          <w:rFonts w:hint="eastAsia" w:asciiTheme="minorEastAsia" w:hAnsiTheme="minorEastAsia"/>
          <w:b/>
          <w:bCs/>
          <w:sz w:val="30"/>
          <w:szCs w:val="30"/>
        </w:rPr>
        <w:t>》</w:t>
      </w:r>
    </w:p>
    <w:p>
      <w:pPr>
        <w:autoSpaceDE w:val="0"/>
        <w:autoSpaceDN w:val="0"/>
        <w:adjustRightInd w:val="0"/>
        <w:spacing w:line="360" w:lineRule="auto"/>
        <w:jc w:val="center"/>
        <w:rPr>
          <w:rFonts w:asciiTheme="minorEastAsia" w:hAnsiTheme="minorEastAsia"/>
          <w:sz w:val="28"/>
          <w:szCs w:val="28"/>
        </w:rPr>
      </w:pPr>
      <w:r>
        <w:rPr>
          <w:rFonts w:hint="eastAsia" w:asciiTheme="minorEastAsia" w:hAnsiTheme="minorEastAsia"/>
          <w:sz w:val="28"/>
          <w:szCs w:val="28"/>
        </w:rPr>
        <w:t>项目信息</w:t>
      </w:r>
    </w:p>
    <w:p>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一、项目名称</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乌东德水电站右岸特大地下洞井群施工关键技术</w:t>
      </w:r>
    </w:p>
    <w:p>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二、提名者及提名等级</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提名者：昆明理工大学</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提名等级：云南省科技进步奖二等奖</w:t>
      </w:r>
    </w:p>
    <w:p>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三、项目简介</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依托乌东德水电站右岸地下特大洞井群工程，针对极不利地质条件下由世界最大高地下主厂房、世界最大直径尾调室及世界最大断面导流洞共同形成的特大地下发电系统洞井群的施工稳定及安全开展系列研究，实现了多种不良地质条件处理下的特大洞室、高边墙、岩锚梁、特大球冠穹顶、多洞交叉及岔口部位开挖成型、稳定及安全施工；为今后类似水电工程中地下特大规模洞井群施工提供参考及借鉴，对乌东德水电站机组按时发电具有重大的现实意义。</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项目为提高复杂条件下特大地下洞井群施工技术水平和自主创新能力起到了很大的促进作用。主要研究的科学技术内容如下：</w:t>
      </w:r>
    </w:p>
    <w:p>
      <w:pPr>
        <w:tabs>
          <w:tab w:val="center" w:pos="7513"/>
        </w:tabs>
        <w:spacing w:line="360" w:lineRule="auto"/>
        <w:ind w:firstLine="480" w:firstLineChars="200"/>
        <w:rPr>
          <w:rFonts w:hint="default" w:ascii="Times New Roman" w:hAnsi="Times New Roman" w:cs="Times New Roman" w:eastAsiaTheme="majorEastAsia"/>
          <w:sz w:val="24"/>
          <w:szCs w:val="24"/>
        </w:rPr>
      </w:pPr>
      <w:bookmarkStart w:id="0" w:name="OLE_LINK2"/>
      <w:r>
        <w:rPr>
          <w:rFonts w:hint="default" w:ascii="Times New Roman" w:hAnsi="Times New Roman" w:cs="Times New Roman" w:eastAsiaTheme="majorEastAsia"/>
          <w:sz w:val="24"/>
          <w:szCs w:val="24"/>
        </w:rPr>
        <w:t>1. 数值模拟地下洞室开挖全过程，对比分析不同开挖方案下围岩应力、变形、稳定及破坏分布特征，优化了地下特大洞井群的施工方案，保证开挖质量，提高了施工效率；建立智能实时监测及反馈系统，实行动态控制，实时回馈分析，提出了地下洞室开挖的日变形预警值，有效控制了特大地下洞井群的开挖成型与稳定，实现了世界最高地下厂房洞室精细化施工全过程的安全和稳定控制。</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 根据53m直径半圆筒型尾调室的结构特点，采用了“环洞先行，预留岩柱，周边扩挖”的球冠穹顶开挖新技术，实现了“以圆削球”目的，解决了世界最大球冠穹顶的开挖成型和围岩稳定难题；充分利用尾调室竖井周边排水廊道，多层次布置联通竖井的施工通道，形成了大型机械进入竖井内“井挖辨明挖”的施工工艺，提高了井道开挖机械化水平，大幅提高施工效率。</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3. 乌东德右岸区域存在的9类不良地质和K25岩溶斜井对地下厂房的特大洞室顶拱围岩、高边墙、岩锚梁及多洞交叉、岔口部位开挖成型及稳定等方面有不利影响，自主研发了“预锚固、预固结、双层保护”的岩锚梁精细化施工工艺，提出了“薄层开挖、预留隔墩、跳段开挖、随层深层加固”的高边墙成型及稳定控制方法，保证了特大规模洞井群开挖、成型及稳定的顺利完成。</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4. </w:t>
      </w:r>
      <w:bookmarkStart w:id="1" w:name="OLE_LINK10"/>
      <w:r>
        <w:rPr>
          <w:rFonts w:hint="default" w:ascii="Times New Roman" w:hAnsi="Times New Roman" w:cs="Times New Roman" w:eastAsiaTheme="majorEastAsia"/>
          <w:sz w:val="24"/>
          <w:szCs w:val="24"/>
        </w:rPr>
        <w:t>研发了全回转、可伸缩、无死角梭式布料机+皮带机为主、混凝土泵为辅的多设备多层次联合混凝土输送系统装备，解决了地下厂房、进水塔、导流洞封堵的高落差、大跨度大体积混凝土浇筑难题；研制了自爬升门槽云车，保障了进水口拦污栅/塔顶空腔板梁等复杂结构的快速施工安全；研制了自行式浮船抽水泵站，实现了高水位不提闸导流洞快速抽排水，为快速封堵导流洞创造了条件。</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取得了丰富的具有重要技术价值和工程意义的研究成果，核心技术具有完全自主知识产权，获得授权发明专利10件、实用新型28件、软件著作权3项，参编行业及团体标准8部，取得省部级工法32项，发表学术论文20篇，其中SCI期刊论文8篇，EI期刊论文10篇。</w:t>
      </w:r>
    </w:p>
    <w:p>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成果应用于乌东德水电站右岸地下洞井群施工中，获得相关设计院及工程主管公司的广泛认可，累计取得超两亿元的经济效益及巨大的社会效益。</w:t>
      </w:r>
    </w:p>
    <w:bookmarkEnd w:id="0"/>
    <w:bookmarkEnd w:id="1"/>
    <w:p>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四、主要完成人基本情况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270"/>
        <w:gridCol w:w="785"/>
        <w:gridCol w:w="3626"/>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bCs/>
                <w:color w:val="000000"/>
              </w:rPr>
            </w:pPr>
            <w:r>
              <w:rPr>
                <w:rFonts w:hint="default" w:ascii="Times New Roman" w:hAnsi="Times New Roman" w:cs="Times New Roman" w:eastAsiaTheme="majorEastAsia"/>
                <w:bCs/>
                <w:color w:val="000000"/>
              </w:rPr>
              <w:t>序号</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bCs/>
                <w:color w:val="000000"/>
              </w:rPr>
            </w:pPr>
            <w:r>
              <w:rPr>
                <w:rFonts w:hint="default" w:ascii="Times New Roman" w:hAnsi="Times New Roman" w:cs="Times New Roman" w:eastAsiaTheme="majorEastAsia"/>
                <w:bCs/>
                <w:color w:val="000000"/>
              </w:rPr>
              <w:t>姓名</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bCs/>
                <w:color w:val="000000"/>
              </w:rPr>
            </w:pPr>
            <w:r>
              <w:rPr>
                <w:rFonts w:hint="default" w:ascii="Times New Roman" w:hAnsi="Times New Roman" w:cs="Times New Roman" w:eastAsiaTheme="majorEastAsia"/>
                <w:bCs/>
                <w:color w:val="000000"/>
              </w:rPr>
              <w:t>性别</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bCs/>
                <w:color w:val="000000"/>
              </w:rPr>
            </w:pPr>
            <w:r>
              <w:rPr>
                <w:rFonts w:hint="default" w:ascii="Times New Roman" w:hAnsi="Times New Roman" w:cs="Times New Roman" w:eastAsiaTheme="majorEastAsia"/>
                <w:bCs/>
                <w:color w:val="000000"/>
              </w:rPr>
              <w:t>职务/职称</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bCs/>
                <w:color w:val="000000"/>
              </w:rPr>
            </w:pPr>
            <w:r>
              <w:rPr>
                <w:rFonts w:hint="default" w:ascii="Times New Roman" w:hAnsi="Times New Roman" w:cs="Times New Roman" w:eastAsiaTheme="majorEastAsia"/>
                <w:bCs/>
                <w:color w:val="000000"/>
              </w:rPr>
              <w:t>工作单位（完成单位）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1</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叶明</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公司总工/正高</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中国水利水电第六工程局有限公司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2</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沈春颖</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女</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系主任/教授</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昆明理工大学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3</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任长春</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公司首席技术专家、副总工/正高</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中国水利水电第六工程局有限公司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4</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王铭明</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省工程中心副主任/教授</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浙江理工大学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5</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何金星</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女</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公司工程科技部高级主管/高工</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中国水利水电第六工程局有限公司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6</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王  超</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水电分院总工/正高</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中国电建集团昆明勘察设计研究院有限公司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7</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裴华富</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国家优青/教授</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8</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徐  强</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副教授</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9</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徐存东</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院长/教授</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浙江水利水电学院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10</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聂文俊</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女</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公司副总工程师/正高</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中国水利水电第六工程局有限公司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11</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刘海冰</w:t>
            </w:r>
          </w:p>
        </w:tc>
        <w:tc>
          <w:tcPr>
            <w:tcW w:w="3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项目总工/工程师</w:t>
            </w:r>
          </w:p>
        </w:tc>
        <w:tc>
          <w:tcPr>
            <w:tcW w:w="17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中国水利水电第六工程局有限公司</w:t>
            </w:r>
          </w:p>
        </w:tc>
      </w:tr>
    </w:tbl>
    <w:p>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五、主要完成单位</w:t>
      </w:r>
    </w:p>
    <w:p>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default" w:ascii="Times New Roman" w:hAnsi="Times New Roman" w:cs="Times New Roman" w:eastAsiaTheme="majorEastAsia"/>
          <w:sz w:val="24"/>
          <w:szCs w:val="28"/>
        </w:rPr>
        <w:t>昆明理工大学</w:t>
      </w:r>
    </w:p>
    <w:p>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default" w:ascii="Times New Roman" w:hAnsi="Times New Roman" w:cs="Times New Roman" w:eastAsiaTheme="majorEastAsia"/>
          <w:sz w:val="24"/>
          <w:szCs w:val="28"/>
        </w:rPr>
        <w:t>中国水利水电第六工程局有限公司</w:t>
      </w:r>
    </w:p>
    <w:p>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default" w:ascii="Times New Roman" w:hAnsi="Times New Roman" w:cs="Times New Roman" w:eastAsiaTheme="majorEastAsia"/>
          <w:sz w:val="24"/>
          <w:szCs w:val="28"/>
        </w:rPr>
        <w:t>中国电建集团昆明勘察设计研究院有限公司</w:t>
      </w:r>
    </w:p>
    <w:p>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default" w:ascii="Times New Roman" w:hAnsi="Times New Roman" w:cs="Times New Roman" w:eastAsiaTheme="majorEastAsia"/>
          <w:sz w:val="24"/>
          <w:szCs w:val="28"/>
        </w:rPr>
        <w:t>浙江水利水电学院</w:t>
      </w:r>
    </w:p>
    <w:p>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default" w:ascii="Times New Roman" w:hAnsi="Times New Roman" w:cs="Times New Roman" w:eastAsiaTheme="majorEastAsia"/>
          <w:sz w:val="24"/>
          <w:szCs w:val="28"/>
        </w:rPr>
        <w:t>浙江理工大学</w:t>
      </w:r>
    </w:p>
    <w:p>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default" w:ascii="Times New Roman" w:hAnsi="Times New Roman" w:cs="Times New Roman" w:eastAsiaTheme="majorEastAsia"/>
          <w:sz w:val="24"/>
          <w:szCs w:val="28"/>
        </w:rPr>
        <w:t>大连理工大学</w:t>
      </w:r>
    </w:p>
    <w:p>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六、主要知识产权和标准规范等目录</w:t>
      </w:r>
    </w:p>
    <w:p>
      <w:pPr>
        <w:tabs>
          <w:tab w:val="center" w:pos="7513"/>
        </w:tabs>
        <w:spacing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1．授权的代表性发明专利：</w:t>
      </w:r>
    </w:p>
    <w:tbl>
      <w:tblPr>
        <w:tblStyle w:val="9"/>
        <w:tblW w:w="501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00"/>
        <w:gridCol w:w="1808"/>
        <w:gridCol w:w="1378"/>
        <w:gridCol w:w="1228"/>
        <w:gridCol w:w="1476"/>
        <w:gridCol w:w="1354"/>
        <w:gridCol w:w="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315"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序号</w:t>
            </w:r>
          </w:p>
        </w:tc>
        <w:tc>
          <w:tcPr>
            <w:tcW w:w="600"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专利类别</w:t>
            </w:r>
          </w:p>
        </w:tc>
        <w:tc>
          <w:tcPr>
            <w:tcW w:w="904"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专利名称</w:t>
            </w:r>
          </w:p>
        </w:tc>
        <w:tc>
          <w:tcPr>
            <w:tcW w:w="689"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授权号</w:t>
            </w:r>
          </w:p>
        </w:tc>
        <w:tc>
          <w:tcPr>
            <w:tcW w:w="614"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授权日期</w:t>
            </w:r>
          </w:p>
        </w:tc>
        <w:tc>
          <w:tcPr>
            <w:tcW w:w="738"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权利人</w:t>
            </w:r>
          </w:p>
        </w:tc>
        <w:tc>
          <w:tcPr>
            <w:tcW w:w="677"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发明人</w:t>
            </w:r>
          </w:p>
        </w:tc>
        <w:tc>
          <w:tcPr>
            <w:tcW w:w="458"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600"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一种厂房基础岩石爆破装置及爆破控制方法</w:t>
            </w:r>
          </w:p>
        </w:tc>
        <w:tc>
          <w:tcPr>
            <w:tcW w:w="689"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CN108088336B</w:t>
            </w:r>
          </w:p>
        </w:tc>
        <w:tc>
          <w:tcPr>
            <w:tcW w:w="61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2020-01-07</w:t>
            </w:r>
          </w:p>
        </w:tc>
        <w:tc>
          <w:tcPr>
            <w:tcW w:w="738" w:type="pct"/>
            <w:vAlign w:val="center"/>
          </w:tcPr>
          <w:p>
            <w:pPr>
              <w:pStyle w:val="3"/>
              <w:spacing w:line="240" w:lineRule="auto"/>
              <w:ind w:left="-63" w:leftChars="-30" w:right="-63" w:rightChars="-3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中国水利水电第六工程局有 限公司</w:t>
            </w:r>
          </w:p>
        </w:tc>
        <w:tc>
          <w:tcPr>
            <w:tcW w:w="677"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何金星、叶明、侯建德</w:t>
            </w:r>
          </w:p>
        </w:tc>
        <w:tc>
          <w:tcPr>
            <w:tcW w:w="458"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w:t>
            </w:r>
          </w:p>
        </w:tc>
        <w:tc>
          <w:tcPr>
            <w:tcW w:w="600" w:type="pct"/>
            <w:vAlign w:val="center"/>
          </w:tcPr>
          <w:p>
            <w:pPr>
              <w:pStyle w:val="7"/>
              <w:widowControl w:val="0"/>
              <w:spacing w:beforeAutospacing="0" w:afterAutospacing="0"/>
              <w:ind w:left="-105" w:leftChars="-50" w:right="-105" w:rightChars="-5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kern w:val="2"/>
                <w:sz w:val="21"/>
                <w:szCs w:val="21"/>
                <w:lang w:bidi="ar"/>
              </w:rPr>
              <w:t>发明专利</w:t>
            </w:r>
          </w:p>
        </w:tc>
        <w:tc>
          <w:tcPr>
            <w:tcW w:w="90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一种大直径竖井开挖爆破炮孔布置方法</w:t>
            </w:r>
          </w:p>
        </w:tc>
        <w:tc>
          <w:tcPr>
            <w:tcW w:w="689"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CN113250696B</w:t>
            </w:r>
          </w:p>
        </w:tc>
        <w:tc>
          <w:tcPr>
            <w:tcW w:w="61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2023-05-12</w:t>
            </w:r>
          </w:p>
        </w:tc>
        <w:tc>
          <w:tcPr>
            <w:tcW w:w="738"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叶明、何金星、杨伟刚、戚敬师、王贵燕</w:t>
            </w:r>
          </w:p>
        </w:tc>
        <w:tc>
          <w:tcPr>
            <w:tcW w:w="458"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600"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一种多层地下空间开挖支护的施工方法</w:t>
            </w:r>
          </w:p>
        </w:tc>
        <w:tc>
          <w:tcPr>
            <w:tcW w:w="689"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CN113027469B</w:t>
            </w:r>
          </w:p>
        </w:tc>
        <w:tc>
          <w:tcPr>
            <w:tcW w:w="61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2023-08-01</w:t>
            </w:r>
          </w:p>
        </w:tc>
        <w:tc>
          <w:tcPr>
            <w:tcW w:w="738"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叶明、何金星、杨伟刚、戚敬师、王贵燕</w:t>
            </w:r>
          </w:p>
        </w:tc>
        <w:tc>
          <w:tcPr>
            <w:tcW w:w="458"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w:t>
            </w:r>
          </w:p>
        </w:tc>
        <w:tc>
          <w:tcPr>
            <w:tcW w:w="600"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一种大直径竖井开挖支护施工方法</w:t>
            </w:r>
          </w:p>
        </w:tc>
        <w:tc>
          <w:tcPr>
            <w:tcW w:w="689"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CN113153306B</w:t>
            </w:r>
          </w:p>
        </w:tc>
        <w:tc>
          <w:tcPr>
            <w:tcW w:w="61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2023-11-14</w:t>
            </w:r>
          </w:p>
        </w:tc>
        <w:tc>
          <w:tcPr>
            <w:tcW w:w="738"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叶明、何金星、杨伟刚、戚敬师、王贵燕</w:t>
            </w:r>
          </w:p>
        </w:tc>
        <w:tc>
          <w:tcPr>
            <w:tcW w:w="458"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5</w:t>
            </w:r>
          </w:p>
        </w:tc>
        <w:tc>
          <w:tcPr>
            <w:tcW w:w="600"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导流洞快速封堵结构</w:t>
            </w:r>
          </w:p>
        </w:tc>
        <w:tc>
          <w:tcPr>
            <w:tcW w:w="689"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CN113957863B</w:t>
            </w:r>
          </w:p>
        </w:tc>
        <w:tc>
          <w:tcPr>
            <w:tcW w:w="61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2022-12-13</w:t>
            </w:r>
          </w:p>
        </w:tc>
        <w:tc>
          <w:tcPr>
            <w:tcW w:w="738"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任长春、聂文俊、何金星、刘海冰、蒋森林、郭飞飞、江钧雄、余瑞</w:t>
            </w:r>
          </w:p>
        </w:tc>
        <w:tc>
          <w:tcPr>
            <w:tcW w:w="458"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w:t>
            </w:r>
          </w:p>
        </w:tc>
        <w:tc>
          <w:tcPr>
            <w:tcW w:w="600"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混凝土输送系统</w:t>
            </w:r>
          </w:p>
        </w:tc>
        <w:tc>
          <w:tcPr>
            <w:tcW w:w="689"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CN115492116B</w:t>
            </w:r>
          </w:p>
        </w:tc>
        <w:tc>
          <w:tcPr>
            <w:tcW w:w="61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2023-06-16</w:t>
            </w:r>
          </w:p>
        </w:tc>
        <w:tc>
          <w:tcPr>
            <w:tcW w:w="738"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聂文俊、任长春、何金星、王鹤、黄为、刘海冰、吴冲</w:t>
            </w:r>
          </w:p>
        </w:tc>
        <w:tc>
          <w:tcPr>
            <w:tcW w:w="458"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7</w:t>
            </w:r>
          </w:p>
        </w:tc>
        <w:tc>
          <w:tcPr>
            <w:tcW w:w="600" w:type="pct"/>
            <w:vAlign w:val="center"/>
          </w:tcPr>
          <w:p>
            <w:pPr>
              <w:pStyle w:val="3"/>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一种复合支撑拱受力体加强支护方法</w:t>
            </w:r>
          </w:p>
        </w:tc>
        <w:tc>
          <w:tcPr>
            <w:tcW w:w="689"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CN113931662B</w:t>
            </w:r>
          </w:p>
        </w:tc>
        <w:tc>
          <w:tcPr>
            <w:tcW w:w="614"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2023-08-04</w:t>
            </w:r>
          </w:p>
        </w:tc>
        <w:tc>
          <w:tcPr>
            <w:tcW w:w="738"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叶明、任长春、聂文俊、何金星</w:t>
            </w:r>
          </w:p>
        </w:tc>
        <w:tc>
          <w:tcPr>
            <w:tcW w:w="458"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w:t>
            </w:r>
          </w:p>
        </w:tc>
        <w:tc>
          <w:tcPr>
            <w:tcW w:w="600" w:type="pct"/>
            <w:vAlign w:val="center"/>
          </w:tcPr>
          <w:p>
            <w:pPr>
              <w:pStyle w:val="7"/>
              <w:widowControl w:val="0"/>
              <w:spacing w:beforeAutospacing="0" w:afterAutospacing="0"/>
              <w:ind w:left="-105" w:leftChars="-50" w:right="-105" w:rightChars="-5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行业标准</w:t>
            </w:r>
          </w:p>
        </w:tc>
        <w:tc>
          <w:tcPr>
            <w:tcW w:w="904" w:type="pct"/>
            <w:vAlign w:val="center"/>
          </w:tcPr>
          <w:p>
            <w:pPr>
              <w:widowControl/>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水电水利工程泵送混凝土施工技术规范</w:t>
            </w:r>
          </w:p>
        </w:tc>
        <w:tc>
          <w:tcPr>
            <w:tcW w:w="689" w:type="pct"/>
            <w:vAlign w:val="center"/>
          </w:tcPr>
          <w:p>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DL/T 5824—2021</w:t>
            </w:r>
          </w:p>
        </w:tc>
        <w:tc>
          <w:tcPr>
            <w:tcW w:w="614" w:type="pct"/>
            <w:vAlign w:val="center"/>
          </w:tcPr>
          <w:p>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kern w:val="0"/>
                <w:szCs w:val="21"/>
                <w:lang w:bidi="ar"/>
              </w:rPr>
              <w:t>2021-10-26</w:t>
            </w:r>
          </w:p>
        </w:tc>
        <w:tc>
          <w:tcPr>
            <w:tcW w:w="738" w:type="pct"/>
            <w:vAlign w:val="center"/>
          </w:tcPr>
          <w:p>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kern w:val="0"/>
                <w:szCs w:val="21"/>
                <w:lang w:bidi="ar"/>
              </w:rPr>
              <w:t>中国水利水电第六工程局有限公司</w:t>
            </w:r>
          </w:p>
        </w:tc>
        <w:tc>
          <w:tcPr>
            <w:tcW w:w="677" w:type="pct"/>
            <w:vAlign w:val="center"/>
          </w:tcPr>
          <w:p>
            <w:pPr>
              <w:pStyle w:val="7"/>
              <w:widowControl w:val="0"/>
              <w:spacing w:beforeAutospacing="0" w:afterAutospacing="0"/>
              <w:ind w:left="-63" w:leftChars="-30" w:right="-63" w:rightChars="-3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bidi="ar"/>
              </w:rPr>
              <w:t>叶明、任长春、何金星、聂文俊、王彪、邓立南</w:t>
            </w:r>
          </w:p>
        </w:tc>
        <w:tc>
          <w:tcPr>
            <w:tcW w:w="458"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color w:val="000000"/>
                <w:szCs w:val="21"/>
                <w:shd w:val="clear" w:color="auto" w:fill="FFFFFF"/>
              </w:rPr>
              <w:t>现行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w:t>
            </w:r>
          </w:p>
        </w:tc>
        <w:tc>
          <w:tcPr>
            <w:tcW w:w="600" w:type="pct"/>
            <w:vAlign w:val="center"/>
          </w:tcPr>
          <w:p>
            <w:pPr>
              <w:pStyle w:val="7"/>
              <w:widowControl w:val="0"/>
              <w:spacing w:beforeAutospacing="0" w:afterAutospacing="0"/>
              <w:ind w:left="-105" w:leftChars="-50" w:right="-105" w:rightChars="-5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行业标准</w:t>
            </w:r>
          </w:p>
        </w:tc>
        <w:tc>
          <w:tcPr>
            <w:tcW w:w="904" w:type="pct"/>
            <w:vAlign w:val="center"/>
          </w:tcPr>
          <w:p>
            <w:pPr>
              <w:widowControl/>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水电水利工程施工机械安全操作规程混凝土喷射机</w:t>
            </w:r>
          </w:p>
        </w:tc>
        <w:tc>
          <w:tcPr>
            <w:tcW w:w="689" w:type="pct"/>
            <w:vAlign w:val="center"/>
          </w:tcPr>
          <w:p>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color w:val="000000"/>
                <w:szCs w:val="21"/>
                <w:shd w:val="clear" w:color="auto" w:fill="FFFFFF"/>
              </w:rPr>
              <w:t>DL/T 5825-2021</w:t>
            </w:r>
          </w:p>
        </w:tc>
        <w:tc>
          <w:tcPr>
            <w:tcW w:w="614" w:type="pct"/>
            <w:vAlign w:val="center"/>
          </w:tcPr>
          <w:p>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color w:val="000000"/>
                <w:szCs w:val="21"/>
                <w:shd w:val="clear" w:color="auto" w:fill="FFFFFF"/>
              </w:rPr>
              <w:t>2021-10-26</w:t>
            </w:r>
          </w:p>
        </w:tc>
        <w:tc>
          <w:tcPr>
            <w:tcW w:w="738" w:type="pct"/>
            <w:vAlign w:val="center"/>
          </w:tcPr>
          <w:p>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中国水利水电第六工程局有限公司</w:t>
            </w:r>
          </w:p>
        </w:tc>
        <w:tc>
          <w:tcPr>
            <w:tcW w:w="677" w:type="pct"/>
            <w:vAlign w:val="center"/>
          </w:tcPr>
          <w:p>
            <w:pPr>
              <w:pStyle w:val="7"/>
              <w:widowControl w:val="0"/>
              <w:spacing w:beforeAutospacing="0" w:afterAutospacing="0"/>
              <w:ind w:right="-63" w:rightChars="-3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sz w:val="21"/>
                <w:szCs w:val="21"/>
              </w:rPr>
              <w:t>郭光文、向建、宗敦峰、梅锦煜、许松林、席浩、汪毅、楚跃先、吴新琪、余英、朱明星等</w:t>
            </w:r>
          </w:p>
        </w:tc>
        <w:tc>
          <w:tcPr>
            <w:tcW w:w="458" w:type="pct"/>
            <w:vAlign w:val="center"/>
          </w:tcPr>
          <w:p>
            <w:pPr>
              <w:pStyle w:val="7"/>
              <w:widowControl w:val="0"/>
              <w:spacing w:beforeAutospacing="0" w:afterAutospacing="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color w:val="000000"/>
                <w:sz w:val="21"/>
                <w:szCs w:val="21"/>
                <w:shd w:val="clear" w:color="auto" w:fill="FFFFFF"/>
              </w:rPr>
              <w:t>现行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pPr>
              <w:pStyle w:val="3"/>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w:t>
            </w:r>
          </w:p>
        </w:tc>
        <w:tc>
          <w:tcPr>
            <w:tcW w:w="600" w:type="pct"/>
            <w:vAlign w:val="center"/>
          </w:tcPr>
          <w:p>
            <w:pPr>
              <w:pStyle w:val="7"/>
              <w:widowControl w:val="0"/>
              <w:spacing w:beforeAutospacing="0" w:afterAutospacing="0"/>
              <w:ind w:left="-105" w:leftChars="-50" w:right="-105" w:rightChars="-5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sz w:val="21"/>
                <w:szCs w:val="21"/>
              </w:rPr>
              <w:t>行业标准</w:t>
            </w:r>
          </w:p>
        </w:tc>
        <w:tc>
          <w:tcPr>
            <w:tcW w:w="904" w:type="pct"/>
            <w:vAlign w:val="center"/>
          </w:tcPr>
          <w:p>
            <w:pPr>
              <w:pStyle w:val="7"/>
              <w:widowControl w:val="0"/>
              <w:spacing w:beforeAutospacing="0" w:afterAutospacing="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sz w:val="21"/>
                <w:szCs w:val="21"/>
              </w:rPr>
              <w:t>水电水利工程现场文明施工规范</w:t>
            </w:r>
          </w:p>
        </w:tc>
        <w:tc>
          <w:tcPr>
            <w:tcW w:w="689" w:type="pct"/>
            <w:vAlign w:val="center"/>
          </w:tcPr>
          <w:p>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DL/T 5798-2019</w:t>
            </w:r>
          </w:p>
        </w:tc>
        <w:tc>
          <w:tcPr>
            <w:tcW w:w="614" w:type="pct"/>
            <w:vAlign w:val="center"/>
          </w:tcPr>
          <w:p>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kern w:val="0"/>
                <w:szCs w:val="21"/>
                <w:lang w:bidi="ar"/>
              </w:rPr>
              <w:t>2020-5-1</w:t>
            </w:r>
          </w:p>
        </w:tc>
        <w:tc>
          <w:tcPr>
            <w:tcW w:w="738" w:type="pct"/>
            <w:vAlign w:val="center"/>
          </w:tcPr>
          <w:p>
            <w:pPr>
              <w:widowControl/>
              <w:jc w:val="center"/>
              <w:textAlignment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中电建建筑集团有限公司、中国水利水电第六工程局有限公司、中国长江三峡集团公司</w:t>
            </w:r>
          </w:p>
        </w:tc>
        <w:tc>
          <w:tcPr>
            <w:tcW w:w="677" w:type="pct"/>
            <w:vAlign w:val="center"/>
          </w:tcPr>
          <w:p>
            <w:pPr>
              <w:pStyle w:val="7"/>
              <w:ind w:left="-63" w:leftChars="-30" w:right="-63" w:rightChars="-3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sz w:val="21"/>
                <w:szCs w:val="21"/>
              </w:rPr>
              <w:t>梁宏生、罗维成、罗钢、朱甲学、孙海燕、叶明、孙之龙、徐军邓等</w:t>
            </w:r>
          </w:p>
        </w:tc>
        <w:tc>
          <w:tcPr>
            <w:tcW w:w="458" w:type="pct"/>
            <w:vAlign w:val="center"/>
          </w:tcPr>
          <w:p>
            <w:pPr>
              <w:pStyle w:val="7"/>
              <w:widowControl w:val="0"/>
              <w:spacing w:beforeAutospacing="0" w:afterAutospacing="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color w:val="000000"/>
                <w:sz w:val="21"/>
                <w:szCs w:val="21"/>
                <w:shd w:val="clear" w:color="auto" w:fill="FFFFFF"/>
              </w:rPr>
              <w:t>现行</w:t>
            </w:r>
          </w:p>
        </w:tc>
      </w:tr>
    </w:tbl>
    <w:p>
      <w:pPr>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2. 发表的代表性科技论文：</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628"/>
        <w:gridCol w:w="1612"/>
        <w:gridCol w:w="266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序号</w:t>
            </w:r>
          </w:p>
        </w:tc>
        <w:tc>
          <w:tcPr>
            <w:tcW w:w="1820" w:type="pct"/>
            <w:vAlign w:val="center"/>
          </w:tcPr>
          <w:p>
            <w:pPr>
              <w:tabs>
                <w:tab w:val="center" w:pos="7513"/>
              </w:tabs>
              <w:ind w:left="63" w:leftChars="30" w:right="63" w:rightChars="3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名称</w:t>
            </w:r>
          </w:p>
        </w:tc>
        <w:tc>
          <w:tcPr>
            <w:tcW w:w="809" w:type="pct"/>
            <w:vAlign w:val="center"/>
          </w:tcPr>
          <w:p>
            <w:pPr>
              <w:tabs>
                <w:tab w:val="center" w:pos="7513"/>
              </w:tabs>
              <w:ind w:left="-105" w:leftChars="-50" w:right="-105" w:rightChars="-5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刊名</w:t>
            </w:r>
          </w:p>
        </w:tc>
        <w:tc>
          <w:tcPr>
            <w:tcW w:w="1336" w:type="pct"/>
            <w:vAlign w:val="center"/>
          </w:tcPr>
          <w:p>
            <w:pPr>
              <w:tabs>
                <w:tab w:val="center" w:pos="7513"/>
              </w:tabs>
              <w:ind w:left="63" w:leftChars="30" w:right="63" w:rightChars="3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作者</w:t>
            </w:r>
          </w:p>
        </w:tc>
        <w:tc>
          <w:tcPr>
            <w:tcW w:w="737" w:type="pct"/>
            <w:vAlign w:val="center"/>
          </w:tcPr>
          <w:p>
            <w:pPr>
              <w:tabs>
                <w:tab w:val="center" w:pos="7513"/>
              </w:tabs>
              <w:ind w:left="-105" w:leftChars="-50" w:right="-105" w:rightChars="-5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年卷页码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1820"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Monitoring of tunnel excavation based on the fiber Bragg grating sensing technology</w:t>
            </w:r>
          </w:p>
        </w:tc>
        <w:tc>
          <w:tcPr>
            <w:tcW w:w="809"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Measurement</w:t>
            </w:r>
          </w:p>
        </w:tc>
        <w:tc>
          <w:tcPr>
            <w:tcW w:w="1336"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Huaibo Song, Huafu Pei , Honghu Zhu</w:t>
            </w:r>
          </w:p>
        </w:tc>
        <w:tc>
          <w:tcPr>
            <w:tcW w:w="737"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2021, 169: 108334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w:t>
            </w:r>
          </w:p>
        </w:tc>
        <w:tc>
          <w:tcPr>
            <w:tcW w:w="1820"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Structural seismic response reconstruction method based on multidomain feature-guided generative adversarial neural networks</w:t>
            </w:r>
          </w:p>
        </w:tc>
        <w:tc>
          <w:tcPr>
            <w:tcW w:w="809"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Smart Materials and Structures</w:t>
            </w:r>
          </w:p>
        </w:tc>
        <w:tc>
          <w:tcPr>
            <w:tcW w:w="1336"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Bo Liu, Qiang Xu, Jianyun Chen, Ming Ye, Mingming Wang</w:t>
            </w:r>
          </w:p>
        </w:tc>
        <w:tc>
          <w:tcPr>
            <w:tcW w:w="737"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 5: 10.1088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3</w:t>
            </w:r>
          </w:p>
        </w:tc>
        <w:tc>
          <w:tcPr>
            <w:tcW w:w="1820"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Influencing Factors of Porosity and Strength of Plant-Growing Concrete</w:t>
            </w:r>
          </w:p>
        </w:tc>
        <w:tc>
          <w:tcPr>
            <w:tcW w:w="809"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Material</w:t>
            </w:r>
          </w:p>
        </w:tc>
        <w:tc>
          <w:tcPr>
            <w:tcW w:w="1336"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Jiashi Cai;Chunying Shen;Ming Ye;Siyang Huang;Jinxing He;Ding Cui</w:t>
            </w:r>
          </w:p>
        </w:tc>
        <w:tc>
          <w:tcPr>
            <w:tcW w:w="737" w:type="pct"/>
            <w:vAlign w:val="center"/>
          </w:tcPr>
          <w:p>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2023</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17</w:t>
            </w:r>
            <w:r>
              <w:rPr>
                <w:rFonts w:hint="default" w:ascii="Times New Roman" w:hAnsi="Times New Roman" w:cs="Times New Roman" w:eastAsiaTheme="majorEastAsia"/>
                <w:szCs w:val="21"/>
                <w:lang w:val="en-US" w:eastAsia="zh-CN"/>
              </w:rPr>
              <w:t>(</w:t>
            </w:r>
            <w:r>
              <w:rPr>
                <w:rFonts w:hint="default" w:ascii="Times New Roman" w:hAnsi="Times New Roman" w:cs="Times New Roman" w:eastAsiaTheme="majorEastAsia"/>
                <w:szCs w:val="21"/>
              </w:rPr>
              <w:t>31</w:t>
            </w:r>
            <w:r>
              <w:rPr>
                <w:rFonts w:hint="default" w:ascii="Times New Roman" w:hAnsi="Times New Roman" w:cs="Times New Roman" w:eastAsiaTheme="major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4</w:t>
            </w:r>
          </w:p>
        </w:tc>
        <w:tc>
          <w:tcPr>
            <w:tcW w:w="1820"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Stability analysis of reservoir slope under water-level drawdown considering stratigraphic uncertainty and spatial variability of soil property</w:t>
            </w:r>
          </w:p>
        </w:tc>
        <w:tc>
          <w:tcPr>
            <w:tcW w:w="809"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Computers and Geotechnics</w:t>
            </w:r>
          </w:p>
        </w:tc>
        <w:tc>
          <w:tcPr>
            <w:tcW w:w="1336"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Fanhua Meng;Huafu Pei;Ming Ye;Xingjin He</w:t>
            </w:r>
          </w:p>
        </w:tc>
        <w:tc>
          <w:tcPr>
            <w:tcW w:w="737"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169</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106199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5</w:t>
            </w:r>
          </w:p>
        </w:tc>
        <w:tc>
          <w:tcPr>
            <w:tcW w:w="1820"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Improved endurance time analysis for seismic responses of concrete dam under near-fault pulse-like ground motions</w:t>
            </w:r>
          </w:p>
        </w:tc>
        <w:tc>
          <w:tcPr>
            <w:tcW w:w="809"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Engineering Structures</w:t>
            </w:r>
          </w:p>
        </w:tc>
        <w:tc>
          <w:tcPr>
            <w:tcW w:w="1336"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Xu Shutong;Xu Qiang;Chen Jianyun;Li Jing</w:t>
            </w:r>
          </w:p>
        </w:tc>
        <w:tc>
          <w:tcPr>
            <w:tcW w:w="737"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2022</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270</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114912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6</w:t>
            </w:r>
          </w:p>
        </w:tc>
        <w:tc>
          <w:tcPr>
            <w:tcW w:w="1820"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Exploration on Damage Mechanism and Equivalent Damage Model of High Arch Dams under Earthquakes</w:t>
            </w:r>
          </w:p>
        </w:tc>
        <w:tc>
          <w:tcPr>
            <w:tcW w:w="809"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color w:val="444444"/>
                <w:szCs w:val="21"/>
                <w:shd w:val="clear" w:color="auto" w:fill="FFFFFF"/>
              </w:rPr>
              <w:t>KSCE Journal of Civil Engineering</w:t>
            </w:r>
          </w:p>
        </w:tc>
        <w:tc>
          <w:tcPr>
            <w:tcW w:w="1336"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color w:val="444444"/>
                <w:szCs w:val="21"/>
                <w:shd w:val="clear" w:color="auto" w:fill="FFFFFF"/>
              </w:rPr>
              <w:t>Jianyun Chen;Xiangyu Cao;Qiang Xu;Jing Li</w:t>
            </w:r>
          </w:p>
        </w:tc>
        <w:tc>
          <w:tcPr>
            <w:tcW w:w="737"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2020</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24</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1285-1306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w:t>
            </w:r>
          </w:p>
        </w:tc>
        <w:tc>
          <w:tcPr>
            <w:tcW w:w="1820"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MECHANICAL PROPERTIES OF TWO-WAY DIFFERENT CONFIGURATIONS OF PRESTRESSED CONCRETE MEMBERS SUBJECTED TO AXIAL LOADING</w:t>
            </w:r>
          </w:p>
        </w:tc>
        <w:tc>
          <w:tcPr>
            <w:tcW w:w="809"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Nuclear Engineering and Technology</w:t>
            </w:r>
          </w:p>
        </w:tc>
        <w:tc>
          <w:tcPr>
            <w:tcW w:w="1336"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CHAOBI ZHANG;JIANYUN CHEN;QIANG XU;JING LI</w:t>
            </w:r>
          </w:p>
        </w:tc>
        <w:tc>
          <w:tcPr>
            <w:tcW w:w="737"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2015</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47</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633-645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szCs w:val="21"/>
              </w:rPr>
              <w:t>8</w:t>
            </w:r>
          </w:p>
        </w:tc>
        <w:tc>
          <w:tcPr>
            <w:tcW w:w="1820"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Landslide displacement prediction based on a novel hybrid model and convolutional neural network considering time-varying factors</w:t>
            </w:r>
          </w:p>
        </w:tc>
        <w:tc>
          <w:tcPr>
            <w:tcW w:w="809"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Bulletin of Engineering Geology and the nvironment</w:t>
            </w:r>
          </w:p>
        </w:tc>
        <w:tc>
          <w:tcPr>
            <w:tcW w:w="1336"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HYPERLINK "https://scholar.cnki.net/home/search?sw=6&amp;sw-input=Pei%20Huafu" \t "_blank"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szCs w:val="21"/>
              </w:rPr>
              <w:t>Pei Huafu</w:t>
            </w:r>
            <w:r>
              <w:rPr>
                <w:rFonts w:hint="default" w:ascii="Times New Roman" w:hAnsi="Times New Roman" w:cs="Times New Roman" w:eastAsiaTheme="majorEastAsia"/>
                <w:szCs w:val="21"/>
              </w:rPr>
              <w:fldChar w:fldCharType="end"/>
            </w:r>
            <w:r>
              <w:rPr>
                <w:rFonts w:hint="default" w:ascii="Times New Roman" w:hAnsi="Times New Roman" w:cs="Times New Roman" w:eastAsiaTheme="majorEastAsia"/>
                <w:szCs w:val="21"/>
              </w:rPr>
              <w:t>;</w:t>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HYPERLINK "https://scholar.cnki.net/home/search?sw=6&amp;sw-input=Meng%20Fanhua" \t "_blank"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szCs w:val="21"/>
              </w:rPr>
              <w:t>Meng Fanhua</w:t>
            </w:r>
            <w:r>
              <w:rPr>
                <w:rFonts w:hint="default" w:ascii="Times New Roman" w:hAnsi="Times New Roman" w:cs="Times New Roman" w:eastAsiaTheme="majorEastAsia"/>
                <w:szCs w:val="21"/>
              </w:rPr>
              <w:fldChar w:fldCharType="end"/>
            </w:r>
            <w:r>
              <w:rPr>
                <w:rFonts w:hint="default" w:ascii="Times New Roman" w:hAnsi="Times New Roman" w:cs="Times New Roman" w:eastAsiaTheme="majorEastAsia"/>
                <w:szCs w:val="21"/>
              </w:rPr>
              <w:t>;</w:t>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HYPERLINK "https://scholar.cnki.net/home/search?sw=6&amp;sw-input=Zhu%20Honghu" \t "_blank"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szCs w:val="21"/>
              </w:rPr>
              <w:t>Zhu Honghu</w:t>
            </w:r>
            <w:r>
              <w:rPr>
                <w:rFonts w:hint="default" w:ascii="Times New Roman" w:hAnsi="Times New Roman" w:cs="Times New Roman" w:eastAsiaTheme="majorEastAsia"/>
                <w:szCs w:val="21"/>
              </w:rPr>
              <w:fldChar w:fldCharType="end"/>
            </w:r>
          </w:p>
          <w:p>
            <w:pPr>
              <w:jc w:val="center"/>
              <w:rPr>
                <w:rFonts w:hint="default" w:ascii="Times New Roman" w:hAnsi="Times New Roman" w:cs="Times New Roman" w:eastAsiaTheme="majorEastAsia"/>
                <w:szCs w:val="21"/>
              </w:rPr>
            </w:pPr>
          </w:p>
        </w:tc>
        <w:tc>
          <w:tcPr>
            <w:tcW w:w="737"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2021</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80</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7403-7422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szCs w:val="21"/>
              </w:rPr>
              <w:t>9</w:t>
            </w:r>
          </w:p>
        </w:tc>
        <w:tc>
          <w:tcPr>
            <w:tcW w:w="1820"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乌东德右岸地下厂房尾水调压室快速施工与管理</w:t>
            </w:r>
          </w:p>
        </w:tc>
        <w:tc>
          <w:tcPr>
            <w:tcW w:w="809"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中国水利</w:t>
            </w:r>
          </w:p>
        </w:tc>
        <w:tc>
          <w:tcPr>
            <w:tcW w:w="1336"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任长春，王红松，孙彪</w:t>
            </w:r>
          </w:p>
        </w:tc>
        <w:tc>
          <w:tcPr>
            <w:tcW w:w="737"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2017</w:t>
            </w:r>
            <w:r>
              <w:rPr>
                <w:rFonts w:hint="default" w:ascii="Times New Roman" w:hAnsi="Times New Roman" w:cs="Times New Roman" w:eastAsiaTheme="majorEastAsia"/>
                <w:szCs w:val="21"/>
                <w:lang w:val="en-US" w:eastAsia="zh-CN"/>
              </w:rPr>
              <w:t xml:space="preserve">, (S1): </w:t>
            </w:r>
            <w:r>
              <w:rPr>
                <w:rFonts w:hint="default" w:ascii="Times New Roman" w:hAnsi="Times New Roman" w:cs="Times New Roman" w:eastAsiaTheme="majorEastAsia"/>
                <w:szCs w:val="21"/>
              </w:rPr>
              <w:t>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96" w:type="pct"/>
            <w:vAlign w:val="center"/>
          </w:tcPr>
          <w:p>
            <w:pPr>
              <w:tabs>
                <w:tab w:val="center" w:pos="7513"/>
              </w:tabs>
              <w:ind w:left="-105" w:leftChars="-50" w:right="-105" w:rightChars="-5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color w:val="000000" w:themeColor="text1"/>
                <w:szCs w:val="21"/>
                <w14:textFill>
                  <w14:solidFill>
                    <w14:schemeClr w14:val="tx1"/>
                  </w14:solidFill>
                </w14:textFill>
              </w:rPr>
              <w:t>10</w:t>
            </w:r>
          </w:p>
        </w:tc>
        <w:tc>
          <w:tcPr>
            <w:tcW w:w="1820"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乌东德右岸地下厂房大型洞室不良地质问题处理</w:t>
            </w:r>
          </w:p>
        </w:tc>
        <w:tc>
          <w:tcPr>
            <w:tcW w:w="809"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中国水利</w:t>
            </w:r>
          </w:p>
        </w:tc>
        <w:tc>
          <w:tcPr>
            <w:tcW w:w="1336"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聂文俊，黄为，汪向阳</w:t>
            </w:r>
          </w:p>
        </w:tc>
        <w:tc>
          <w:tcPr>
            <w:tcW w:w="737" w:type="pct"/>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2017</w:t>
            </w:r>
            <w:r>
              <w:rPr>
                <w:rFonts w:hint="default" w:ascii="Times New Roman" w:hAnsi="Times New Roman" w:cs="Times New Roman" w:eastAsiaTheme="majorEastAsia"/>
                <w:szCs w:val="21"/>
                <w:lang w:val="en-US" w:eastAsia="zh-CN"/>
              </w:rPr>
              <w:t xml:space="preserve">, (S1): </w:t>
            </w:r>
            <w:r>
              <w:rPr>
                <w:rFonts w:hint="default" w:ascii="Times New Roman" w:hAnsi="Times New Roman" w:cs="Times New Roman" w:eastAsiaTheme="majorEastAsia"/>
                <w:szCs w:val="21"/>
              </w:rPr>
              <w:t>100-103</w:t>
            </w:r>
          </w:p>
        </w:tc>
      </w:tr>
    </w:tbl>
    <w:p>
      <w:pPr>
        <w:tabs>
          <w:tab w:val="center" w:pos="7513"/>
        </w:tabs>
        <w:spacing w:line="360" w:lineRule="auto"/>
        <w:rPr>
          <w:rFonts w:ascii="Times New Roman" w:hAnsi="Times New Roman" w:cs="Times New Roman" w:eastAsiaTheme="majorEastAsia"/>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haris SIL">
    <w:altName w:val="宋体"/>
    <w:panose1 w:val="00000000000000000000"/>
    <w:charset w:val="86"/>
    <w:family w:val="swiss"/>
    <w:pitch w:val="default"/>
    <w:sig w:usb0="00000000" w:usb1="00000000" w:usb2="00000000" w:usb3="00000000" w:csb0="00040000" w:csb1="00000000"/>
  </w:font>
  <w:font w:name="Technic">
    <w:panose1 w:val="00000400000000000000"/>
    <w:charset w:val="00"/>
    <w:family w:val="auto"/>
    <w:pitch w:val="default"/>
    <w:sig w:usb0="00000000" w:usb1="00000000" w:usb2="00000000" w:usb3="00000000" w:csb0="00000000" w:csb1="00000000"/>
  </w:font>
  <w:font w:name="华光中圆_CNKI">
    <w:panose1 w:val="02000500000000000000"/>
    <w:charset w:val="86"/>
    <w:family w:val="auto"/>
    <w:pitch w:val="default"/>
    <w:sig w:usb0="A00002BF" w:usb1="18CF7CFA" w:usb2="00000016" w:usb3="00000000" w:csb0="0004000F" w:csb1="00000000"/>
  </w:font>
  <w:font w:name="华光仿宋_CNKI">
    <w:panose1 w:val="02000500000000000000"/>
    <w:charset w:val="86"/>
    <w:family w:val="auto"/>
    <w:pitch w:val="default"/>
    <w:sig w:usb0="A00002BF" w:usb1="38CF7CFA" w:usb2="00000016" w:usb3="00000000" w:csb0="0004000F" w:csb1="00000000"/>
  </w:font>
  <w:font w:name="汉仪黑方简">
    <w:panose1 w:val="00020600040101010101"/>
    <w:charset w:val="86"/>
    <w:family w:val="auto"/>
    <w:pitch w:val="default"/>
    <w:sig w:usb0="A000003F" w:usb1="0AC17CFA" w:usb2="00000016" w:usb3="00000000" w:csb0="0004009F" w:csb1="00000000"/>
  </w:font>
  <w:font w:name="华光中长宋_CNKI">
    <w:panose1 w:val="02000500000000000000"/>
    <w:charset w:val="86"/>
    <w:family w:val="auto"/>
    <w:pitch w:val="default"/>
    <w:sig w:usb0="A00002BF" w:usb1="38CF7CFA" w:usb2="00000016" w:usb3="00000000" w:csb0="0004000F" w:csb1="00000000"/>
  </w:font>
  <w:font w:name="华光准圆_CNKI">
    <w:panose1 w:val="02000500000000000000"/>
    <w:charset w:val="86"/>
    <w:family w:val="auto"/>
    <w:pitch w:val="default"/>
    <w:sig w:usb0="A00002BF" w:usb1="38CF7CFA" w:usb2="00000016" w:usb3="00000000" w:csb0="0004000F" w:csb1="00000000"/>
  </w:font>
  <w:font w:name="华光姚体_CNKI">
    <w:panose1 w:val="02000500000000000000"/>
    <w:charset w:val="86"/>
    <w:family w:val="auto"/>
    <w:pitch w:val="default"/>
    <w:sig w:usb0="A00002BF" w:usb1="38CF7CFA" w:usb2="00000016" w:usb3="00000000" w:csb0="0004000F" w:csb1="00000000"/>
  </w:font>
  <w:font w:name="华光幼线_CNKI">
    <w:panose1 w:val="02000500000000000000"/>
    <w:charset w:val="86"/>
    <w:family w:val="auto"/>
    <w:pitch w:val="default"/>
    <w:sig w:usb0="A00002BF" w:usb1="38CF7CFA" w:usb2="00000016" w:usb3="00000000" w:csb0="0004000F" w:csb1="00000000"/>
  </w:font>
  <w:font w:name="汉仪汉黑W">
    <w:panose1 w:val="00020600040101010101"/>
    <w:charset w:val="86"/>
    <w:family w:val="auto"/>
    <w:pitch w:val="default"/>
    <w:sig w:usb0="A00002FF" w:usb1="3A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NmU0OWNjYTQzNGM1NzFkNzI4YjBlODI0MjlkNzMifQ=="/>
  </w:docVars>
  <w:rsids>
    <w:rsidRoot w:val="00172A27"/>
    <w:rsid w:val="0003543D"/>
    <w:rsid w:val="00035481"/>
    <w:rsid w:val="00050E35"/>
    <w:rsid w:val="00051A87"/>
    <w:rsid w:val="000B0083"/>
    <w:rsid w:val="000D2568"/>
    <w:rsid w:val="000D4F86"/>
    <w:rsid w:val="000D64F8"/>
    <w:rsid w:val="000E14BC"/>
    <w:rsid w:val="001071B1"/>
    <w:rsid w:val="0012177A"/>
    <w:rsid w:val="00172A27"/>
    <w:rsid w:val="00174AF0"/>
    <w:rsid w:val="001839E1"/>
    <w:rsid w:val="001C0FBF"/>
    <w:rsid w:val="001C5869"/>
    <w:rsid w:val="001E31ED"/>
    <w:rsid w:val="001F41B0"/>
    <w:rsid w:val="00223039"/>
    <w:rsid w:val="002530A5"/>
    <w:rsid w:val="002915DD"/>
    <w:rsid w:val="002A1DB4"/>
    <w:rsid w:val="002B16CF"/>
    <w:rsid w:val="002C16F7"/>
    <w:rsid w:val="002C1BAA"/>
    <w:rsid w:val="002C2337"/>
    <w:rsid w:val="003177A1"/>
    <w:rsid w:val="00341742"/>
    <w:rsid w:val="003613F3"/>
    <w:rsid w:val="00382AF1"/>
    <w:rsid w:val="0038405E"/>
    <w:rsid w:val="003A1A36"/>
    <w:rsid w:val="003C317C"/>
    <w:rsid w:val="003E3F2E"/>
    <w:rsid w:val="003F0458"/>
    <w:rsid w:val="003F5EF2"/>
    <w:rsid w:val="00413413"/>
    <w:rsid w:val="00477383"/>
    <w:rsid w:val="00492888"/>
    <w:rsid w:val="004A0E1E"/>
    <w:rsid w:val="004A27C5"/>
    <w:rsid w:val="004A4DCB"/>
    <w:rsid w:val="004C460E"/>
    <w:rsid w:val="004D1C16"/>
    <w:rsid w:val="004F051C"/>
    <w:rsid w:val="00505DC1"/>
    <w:rsid w:val="00513204"/>
    <w:rsid w:val="00535700"/>
    <w:rsid w:val="005908C9"/>
    <w:rsid w:val="005A5E3F"/>
    <w:rsid w:val="005D59BB"/>
    <w:rsid w:val="005E0DB1"/>
    <w:rsid w:val="005F7D77"/>
    <w:rsid w:val="006164DE"/>
    <w:rsid w:val="00634BE5"/>
    <w:rsid w:val="00655E2B"/>
    <w:rsid w:val="00664F74"/>
    <w:rsid w:val="006D5381"/>
    <w:rsid w:val="006D7BF8"/>
    <w:rsid w:val="006F4300"/>
    <w:rsid w:val="006F72AC"/>
    <w:rsid w:val="00704B13"/>
    <w:rsid w:val="0072135D"/>
    <w:rsid w:val="00722370"/>
    <w:rsid w:val="00745A94"/>
    <w:rsid w:val="0076307D"/>
    <w:rsid w:val="00772BA8"/>
    <w:rsid w:val="00777A3B"/>
    <w:rsid w:val="00777AEB"/>
    <w:rsid w:val="007B1867"/>
    <w:rsid w:val="007E493A"/>
    <w:rsid w:val="007F74C6"/>
    <w:rsid w:val="0080540E"/>
    <w:rsid w:val="008138B8"/>
    <w:rsid w:val="0081488B"/>
    <w:rsid w:val="0083196A"/>
    <w:rsid w:val="008553DC"/>
    <w:rsid w:val="00870701"/>
    <w:rsid w:val="00876364"/>
    <w:rsid w:val="008826C3"/>
    <w:rsid w:val="00894A2B"/>
    <w:rsid w:val="008A77E9"/>
    <w:rsid w:val="008F52E0"/>
    <w:rsid w:val="0090727B"/>
    <w:rsid w:val="00912C3F"/>
    <w:rsid w:val="00945044"/>
    <w:rsid w:val="009865D0"/>
    <w:rsid w:val="00992289"/>
    <w:rsid w:val="009D614A"/>
    <w:rsid w:val="009F0FF4"/>
    <w:rsid w:val="00A103EA"/>
    <w:rsid w:val="00A17193"/>
    <w:rsid w:val="00A21BD6"/>
    <w:rsid w:val="00A2284B"/>
    <w:rsid w:val="00A62641"/>
    <w:rsid w:val="00A6320F"/>
    <w:rsid w:val="00A70478"/>
    <w:rsid w:val="00A71FFC"/>
    <w:rsid w:val="00A769AA"/>
    <w:rsid w:val="00A8421C"/>
    <w:rsid w:val="00AA3D5C"/>
    <w:rsid w:val="00B14A9C"/>
    <w:rsid w:val="00B5050E"/>
    <w:rsid w:val="00B61773"/>
    <w:rsid w:val="00B63F0D"/>
    <w:rsid w:val="00BC2DE5"/>
    <w:rsid w:val="00BE0559"/>
    <w:rsid w:val="00C00BA5"/>
    <w:rsid w:val="00C21DFA"/>
    <w:rsid w:val="00C4545D"/>
    <w:rsid w:val="00C7445C"/>
    <w:rsid w:val="00C750F4"/>
    <w:rsid w:val="00C83915"/>
    <w:rsid w:val="00C94FA4"/>
    <w:rsid w:val="00CB2330"/>
    <w:rsid w:val="00CE43D0"/>
    <w:rsid w:val="00D0129C"/>
    <w:rsid w:val="00D15E4D"/>
    <w:rsid w:val="00D17CC7"/>
    <w:rsid w:val="00D34ECC"/>
    <w:rsid w:val="00D3699F"/>
    <w:rsid w:val="00D65DC2"/>
    <w:rsid w:val="00D6600A"/>
    <w:rsid w:val="00DA275E"/>
    <w:rsid w:val="00DB1468"/>
    <w:rsid w:val="00DD4E2D"/>
    <w:rsid w:val="00DD5DE7"/>
    <w:rsid w:val="00DE2581"/>
    <w:rsid w:val="00E01BDC"/>
    <w:rsid w:val="00E3423E"/>
    <w:rsid w:val="00E5766F"/>
    <w:rsid w:val="00E63D4A"/>
    <w:rsid w:val="00EE6C39"/>
    <w:rsid w:val="00EF4921"/>
    <w:rsid w:val="00F0689C"/>
    <w:rsid w:val="00F14879"/>
    <w:rsid w:val="00F31E73"/>
    <w:rsid w:val="00F73D65"/>
    <w:rsid w:val="00F928F9"/>
    <w:rsid w:val="00FC4385"/>
    <w:rsid w:val="00FD0C4D"/>
    <w:rsid w:val="00FE6361"/>
    <w:rsid w:val="021C106E"/>
    <w:rsid w:val="03D560CC"/>
    <w:rsid w:val="197E13DE"/>
    <w:rsid w:val="1FCB1164"/>
    <w:rsid w:val="20E524F1"/>
    <w:rsid w:val="26614D1D"/>
    <w:rsid w:val="2F6D7B0F"/>
    <w:rsid w:val="439C056B"/>
    <w:rsid w:val="6EBA7973"/>
    <w:rsid w:val="75003802"/>
    <w:rsid w:val="79795223"/>
    <w:rsid w:val="7DC4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Plain Text"/>
    <w:basedOn w:val="1"/>
    <w:link w:val="15"/>
    <w:qFormat/>
    <w:uiPriority w:val="0"/>
    <w:pPr>
      <w:spacing w:line="360" w:lineRule="auto"/>
      <w:ind w:firstLine="480" w:firstLineChars="200"/>
    </w:pPr>
    <w:rPr>
      <w:rFonts w:ascii="仿宋_GB2312" w:hAnsi="Times New Roman" w:eastAsia="宋体" w:cs="Times New Roman"/>
      <w:sz w:val="24"/>
      <w:szCs w:val="20"/>
    </w:rPr>
  </w:style>
  <w:style w:type="paragraph" w:styleId="4">
    <w:name w:val="Balloon Text"/>
    <w:basedOn w:val="1"/>
    <w:link w:val="18"/>
    <w:semiHidden/>
    <w:unhideWhenUsed/>
    <w:qFormat/>
    <w:uiPriority w:val="99"/>
    <w:rPr>
      <w:sz w:val="18"/>
      <w:szCs w:val="18"/>
    </w:rPr>
  </w:style>
  <w:style w:type="paragraph" w:styleId="5">
    <w:name w:val="footer"/>
    <w:basedOn w:val="1"/>
    <w:link w:val="16"/>
    <w:autoRedefine/>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eastAsia="宋体" w:cs="Times New Roman"/>
      <w:kern w:val="0"/>
      <w:sz w:val="24"/>
      <w:szCs w:val="24"/>
    </w:rPr>
  </w:style>
  <w:style w:type="paragraph" w:styleId="8">
    <w:name w:val="annotation subject"/>
    <w:basedOn w:val="2"/>
    <w:next w:val="2"/>
    <w:link w:val="20"/>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semiHidden/>
    <w:unhideWhenUsed/>
    <w:qFormat/>
    <w:uiPriority w:val="99"/>
    <w:rPr>
      <w:color w:val="0000FF"/>
      <w:u w:val="single"/>
    </w:rPr>
  </w:style>
  <w:style w:type="character" w:styleId="13">
    <w:name w:val="annotation reference"/>
    <w:basedOn w:val="11"/>
    <w:autoRedefine/>
    <w:semiHidden/>
    <w:unhideWhenUsed/>
    <w:qFormat/>
    <w:uiPriority w:val="99"/>
    <w:rPr>
      <w:sz w:val="21"/>
      <w:szCs w:val="21"/>
    </w:rPr>
  </w:style>
  <w:style w:type="paragraph" w:styleId="14">
    <w:name w:val="List Paragraph"/>
    <w:basedOn w:val="1"/>
    <w:autoRedefine/>
    <w:qFormat/>
    <w:uiPriority w:val="99"/>
    <w:pPr>
      <w:ind w:firstLine="420" w:firstLineChars="200"/>
    </w:pPr>
  </w:style>
  <w:style w:type="character" w:customStyle="1" w:styleId="15">
    <w:name w:val="纯文本 字符"/>
    <w:basedOn w:val="11"/>
    <w:link w:val="3"/>
    <w:autoRedefine/>
    <w:qFormat/>
    <w:uiPriority w:val="0"/>
    <w:rPr>
      <w:rFonts w:ascii="仿宋_GB2312" w:hAnsi="Times New Roman" w:eastAsia="宋体" w:cs="Times New Roman"/>
      <w:sz w:val="24"/>
      <w:szCs w:val="20"/>
    </w:rPr>
  </w:style>
  <w:style w:type="character" w:customStyle="1" w:styleId="16">
    <w:name w:val="页脚 字符"/>
    <w:basedOn w:val="11"/>
    <w:link w:val="5"/>
    <w:qFormat/>
    <w:uiPriority w:val="99"/>
    <w:rPr>
      <w:rFonts w:ascii="Times New Roman" w:hAnsi="Times New Roman" w:eastAsia="宋体" w:cs="Times New Roman"/>
      <w:sz w:val="18"/>
      <w:szCs w:val="20"/>
    </w:rPr>
  </w:style>
  <w:style w:type="character" w:customStyle="1" w:styleId="17">
    <w:name w:val="页眉 字符"/>
    <w:basedOn w:val="11"/>
    <w:link w:val="6"/>
    <w:autoRedefine/>
    <w:qFormat/>
    <w:uiPriority w:val="99"/>
    <w:rPr>
      <w:sz w:val="18"/>
      <w:szCs w:val="18"/>
    </w:rPr>
  </w:style>
  <w:style w:type="character" w:customStyle="1" w:styleId="18">
    <w:name w:val="批注框文本 字符"/>
    <w:basedOn w:val="11"/>
    <w:link w:val="4"/>
    <w:semiHidden/>
    <w:qFormat/>
    <w:uiPriority w:val="99"/>
    <w:rPr>
      <w:sz w:val="18"/>
      <w:szCs w:val="18"/>
    </w:rPr>
  </w:style>
  <w:style w:type="character" w:customStyle="1" w:styleId="19">
    <w:name w:val="批注文字 字符"/>
    <w:basedOn w:val="11"/>
    <w:link w:val="2"/>
    <w:autoRedefine/>
    <w:semiHidden/>
    <w:qFormat/>
    <w:uiPriority w:val="99"/>
  </w:style>
  <w:style w:type="character" w:customStyle="1" w:styleId="20">
    <w:name w:val="批注主题 字符"/>
    <w:basedOn w:val="19"/>
    <w:link w:val="8"/>
    <w:autoRedefine/>
    <w:semiHidden/>
    <w:qFormat/>
    <w:uiPriority w:val="99"/>
    <w:rPr>
      <w:b/>
      <w:bCs/>
    </w:r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Default"/>
    <w:unhideWhenUsed/>
    <w:uiPriority w:val="99"/>
    <w:pPr>
      <w:widowControl w:val="0"/>
      <w:autoSpaceDE w:val="0"/>
      <w:autoSpaceDN w:val="0"/>
      <w:adjustRightInd w:val="0"/>
    </w:pPr>
    <w:rPr>
      <w:rFonts w:hint="eastAsia" w:ascii="Charis SIL" w:hAnsi="Charis SIL" w:eastAsia="Charis SI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FBC98-8BD5-4678-8F04-45E613D6966A}">
  <ds:schemaRefs/>
</ds:datastoreItem>
</file>

<file path=docProps/app.xml><?xml version="1.0" encoding="utf-8"?>
<Properties xmlns="http://schemas.openxmlformats.org/officeDocument/2006/extended-properties" xmlns:vt="http://schemas.openxmlformats.org/officeDocument/2006/docPropsVTypes">
  <Template>Normal</Template>
  <Pages>6</Pages>
  <Words>705</Words>
  <Characters>4020</Characters>
  <Lines>33</Lines>
  <Paragraphs>9</Paragraphs>
  <TotalTime>3</TotalTime>
  <ScaleCrop>false</ScaleCrop>
  <LinksUpToDate>false</LinksUpToDate>
  <CharactersWithSpaces>4716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2023-04-12T15:06:00Z</dcterms:created>
  <dc:creator>Wang Dejin</dc:creator>
  <cp:lastModifiedBy>孤情浪子</cp:lastModifiedBy>
  <dcterms:modified xsi:type="dcterms:W3CDTF">2024-04-14T08:19:31Z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E642850011624DDBAB96CAEAB72A909D_13</vt:lpwstr>
  </property>
</Properties>
</file>